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firstLine="556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达州市投资有限公司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ind w:firstLine="556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24"/>
          <w:szCs w:val="2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2022年公开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u w:val="none"/>
        </w:rPr>
        <w:t>职位表</w:t>
      </w:r>
    </w:p>
    <w:tbl>
      <w:tblPr>
        <w:tblStyle w:val="4"/>
        <w:tblpPr w:leftFromText="180" w:rightFromText="180" w:vertAnchor="text" w:horzAnchor="page" w:tblpX="1064" w:tblpY="7"/>
        <w:tblOverlap w:val="never"/>
        <w:tblW w:w="97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119"/>
        <w:gridCol w:w="1155"/>
        <w:gridCol w:w="505"/>
        <w:gridCol w:w="886"/>
        <w:gridCol w:w="886"/>
        <w:gridCol w:w="771"/>
        <w:gridCol w:w="895"/>
        <w:gridCol w:w="2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法务审计部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法学、会计学、审计学、金融学类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具有1年以上工程建设、地产开发、金融证券专业工作经历，具有中级会计师、中级审计师以及法律职业资格证书者年龄可放宽至40周岁以下。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融资管理部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融资规划岗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金融学、财务管理类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具有1年以上银行、信托、证券等金融机构工作经历，或2年以上财务工作经历。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投资管理部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投资学、经济学、企业管理学、金融学类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具有1年以上投资、招商、咨询、营销策划、项目管理、市场运营工作经历，能独立撰写项目评估分析报告。具有企业管理经验者优先。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土木工程、市政工程、园林、工程管理、工程造价类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具有工程管理、造价、设计职业资格证书，具有工程类中级及以上职称者年龄可放宽至40周岁以下。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工程及安全生产管理部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现场管理岗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土木工程、市政工程、园林、工程管理、工程造价类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具有工程管理、造价、设计职业资格证书或5年以上工程建设现场管理工作经历，具有工程类中级及以上职称者年龄可放宽至40周岁以下。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造价管理部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造价管理岗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6"/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土木类、建筑工程类、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工程造价类、预算管理类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取得工程造价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注册类证书。具有一级建造师或一级造价师者年龄可放宽至40周岁以下。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0C911328"/>
    <w:rsid w:val="0C911328"/>
    <w:rsid w:val="4BDC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3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仿宋_GB2312" w:hAnsi="Times New Roman" w:eastAsia="仿宋_GB2312" w:cs="Times New Roman"/>
      <w:kern w:val="0"/>
      <w:szCs w:val="20"/>
    </w:rPr>
  </w:style>
  <w:style w:type="character" w:customStyle="1" w:styleId="6">
    <w:name w:val="font31"/>
    <w:basedOn w:val="5"/>
    <w:qFormat/>
    <w:uiPriority w:val="0"/>
    <w:rPr>
      <w:rFonts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601</Words>
  <Characters>644</Characters>
  <Lines>0</Lines>
  <Paragraphs>0</Paragraphs>
  <TotalTime>2</TotalTime>
  <ScaleCrop>false</ScaleCrop>
  <LinksUpToDate>false</LinksUpToDate>
  <CharactersWithSpaces>644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2022-12-26T11:37:00Z</dcterms:created>
  <dc:creator>Administrator</dc:creator>
  <cp:lastModifiedBy>Administrator</cp:lastModifiedBy>
  <dcterms:modified xsi:type="dcterms:W3CDTF">2022-12-27T07:24:54Z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F9992528E9B147FA9DBF6E0E55F5368C</vt:lpwstr>
  </property>
</Properties>
</file>